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7F" w:rsidRDefault="001D141C" w:rsidP="001D141C">
      <w:pPr>
        <w:tabs>
          <w:tab w:val="left" w:pos="1530"/>
        </w:tabs>
        <w:autoSpaceDE w:val="0"/>
        <w:autoSpaceDN w:val="0"/>
        <w:adjustRightInd w:val="0"/>
        <w:ind w:left="1440" w:right="1440"/>
        <w:rPr>
          <w:rFonts w:ascii="Bookman Old Style" w:hAnsi="Bookman Old Style" w:cs="Bookman Old Style"/>
          <w:i/>
          <w:iCs/>
          <w:sz w:val="21"/>
          <w:szCs w:val="21"/>
        </w:rPr>
      </w:pPr>
      <w:r>
        <w:rPr>
          <w:noProof/>
        </w:rPr>
        <w:drawing>
          <wp:anchor distT="0" distB="0" distL="114300" distR="114300" simplePos="0" relativeHeight="251659264" behindDoc="0" locked="0" layoutInCell="1" allowOverlap="1" wp14:anchorId="00BF0446" wp14:editId="3B139193">
            <wp:simplePos x="0" y="0"/>
            <wp:positionH relativeFrom="column">
              <wp:posOffset>243312</wp:posOffset>
            </wp:positionH>
            <wp:positionV relativeFrom="paragraph">
              <wp:posOffset>218770</wp:posOffset>
            </wp:positionV>
            <wp:extent cx="981075" cy="870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70000"/>
                      <a:extLst>
                        <a:ext uri="{28A0092B-C50C-407E-A947-70E740481C1C}">
                          <a14:useLocalDpi xmlns:a14="http://schemas.microsoft.com/office/drawing/2010/main" val="0"/>
                        </a:ext>
                      </a:extLst>
                    </a:blip>
                    <a:srcRect/>
                    <a:stretch>
                      <a:fillRect/>
                    </a:stretch>
                  </pic:blipFill>
                  <pic:spPr bwMode="auto">
                    <a:xfrm>
                      <a:off x="0" y="0"/>
                      <a:ext cx="981075" cy="87058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Bookman Old Style"/>
          <w:i/>
          <w:iCs/>
          <w:sz w:val="21"/>
          <w:szCs w:val="21"/>
        </w:rPr>
        <w:t xml:space="preserve">                    </w:t>
      </w:r>
    </w:p>
    <w:p w:rsidR="001D141C" w:rsidRDefault="00716A7F" w:rsidP="00716A7F">
      <w:pPr>
        <w:tabs>
          <w:tab w:val="left" w:pos="1530"/>
        </w:tabs>
        <w:autoSpaceDE w:val="0"/>
        <w:autoSpaceDN w:val="0"/>
        <w:adjustRightInd w:val="0"/>
        <w:ind w:left="1170" w:right="1440" w:firstLine="270"/>
        <w:rPr>
          <w:rFonts w:ascii="Arial" w:eastAsia="Times New Roman" w:hAnsi="Arial" w:cs="Arial"/>
          <w:b/>
          <w:sz w:val="72"/>
          <w:szCs w:val="72"/>
        </w:rPr>
      </w:pPr>
      <w:r>
        <w:rPr>
          <w:rFonts w:ascii="Bookman Old Style" w:hAnsi="Bookman Old Style" w:cs="Bookman Old Style"/>
          <w:i/>
          <w:iCs/>
          <w:sz w:val="21"/>
          <w:szCs w:val="21"/>
        </w:rPr>
        <w:tab/>
      </w:r>
      <w:r>
        <w:rPr>
          <w:rFonts w:ascii="Bookman Old Style" w:hAnsi="Bookman Old Style" w:cs="Bookman Old Style"/>
          <w:i/>
          <w:iCs/>
          <w:sz w:val="21"/>
          <w:szCs w:val="21"/>
        </w:rPr>
        <w:tab/>
      </w:r>
      <w:r w:rsidR="001D141C">
        <w:rPr>
          <w:rFonts w:ascii="Bookman Old Style" w:hAnsi="Bookman Old Style" w:cs="Bookman Old Style"/>
          <w:i/>
          <w:iCs/>
          <w:sz w:val="21"/>
          <w:szCs w:val="21"/>
        </w:rPr>
        <w:t xml:space="preserve"> </w:t>
      </w:r>
      <w:r w:rsidR="001D141C">
        <w:rPr>
          <w:rFonts w:ascii="Arial" w:eastAsia="Times New Roman" w:hAnsi="Arial" w:cs="Arial"/>
          <w:b/>
          <w:sz w:val="72"/>
          <w:szCs w:val="72"/>
        </w:rPr>
        <w:t>Deeper Life Bible Study</w:t>
      </w:r>
    </w:p>
    <w:p w:rsidR="001D141C" w:rsidRDefault="001D141C" w:rsidP="001D141C">
      <w:pPr>
        <w:tabs>
          <w:tab w:val="left" w:pos="1530"/>
        </w:tabs>
        <w:autoSpaceDE w:val="0"/>
        <w:autoSpaceDN w:val="0"/>
        <w:adjustRightInd w:val="0"/>
        <w:ind w:left="1440" w:right="1440"/>
        <w:jc w:val="center"/>
        <w:rPr>
          <w:rFonts w:ascii="Vivaldi" w:eastAsia="Times New Roman" w:hAnsi="Vivaldi" w:cs="Arial"/>
          <w:b/>
          <w:sz w:val="56"/>
          <w:szCs w:val="56"/>
        </w:rPr>
      </w:pPr>
      <w:r>
        <w:rPr>
          <w:rFonts w:ascii="Vivaldi" w:eastAsia="Times New Roman" w:hAnsi="Vivaldi" w:cs="Arial"/>
          <w:b/>
          <w:sz w:val="56"/>
          <w:szCs w:val="56"/>
          <w:u w:val="single"/>
        </w:rPr>
        <w:t xml:space="preserve">     Deeper Christian Life Ministry - </w:t>
      </w:r>
      <w:r w:rsidR="00716A7F">
        <w:rPr>
          <w:rFonts w:ascii="Vivaldi" w:eastAsia="Times New Roman" w:hAnsi="Vivaldi" w:cs="Arial"/>
          <w:b/>
          <w:sz w:val="56"/>
          <w:szCs w:val="56"/>
          <w:u w:val="single"/>
        </w:rPr>
        <w:t>130402</w:t>
      </w:r>
    </w:p>
    <w:p w:rsidR="001D141C" w:rsidRDefault="001D141C" w:rsidP="001D141C">
      <w:pPr>
        <w:tabs>
          <w:tab w:val="left" w:pos="1530"/>
        </w:tabs>
        <w:autoSpaceDE w:val="0"/>
        <w:autoSpaceDN w:val="0"/>
        <w:adjustRightInd w:val="0"/>
        <w:ind w:left="1440" w:right="1440"/>
        <w:jc w:val="center"/>
        <w:rPr>
          <w:rFonts w:ascii="Arial" w:eastAsia="Times New Roman" w:hAnsi="Arial" w:cs="Arial"/>
          <w:sz w:val="20"/>
          <w:szCs w:val="20"/>
        </w:rPr>
      </w:pPr>
      <w:r>
        <w:rPr>
          <w:rFonts w:ascii="Arial" w:eastAsia="Times New Roman" w:hAnsi="Arial" w:cs="Arial"/>
          <w:sz w:val="20"/>
          <w:szCs w:val="20"/>
        </w:rPr>
        <w:t>P.O. Box 11, Kingston 3, Jamaica, West Indies</w:t>
      </w:r>
    </w:p>
    <w:p w:rsidR="00B04254" w:rsidRDefault="00B04254" w:rsidP="00964C7F">
      <w:pPr>
        <w:pStyle w:val="BodyText2"/>
        <w:framePr w:w="9897" w:h="12592" w:hRule="exact" w:wrap="none" w:vAnchor="page" w:hAnchor="page" w:x="922" w:y="2965"/>
        <w:shd w:val="clear" w:color="auto" w:fill="auto"/>
        <w:tabs>
          <w:tab w:val="left" w:pos="1530"/>
        </w:tabs>
        <w:spacing w:after="95" w:line="210" w:lineRule="exact"/>
        <w:ind w:left="1440" w:right="1440"/>
        <w:rPr>
          <w:rStyle w:val="BodytextBold"/>
        </w:rPr>
      </w:pPr>
    </w:p>
    <w:p w:rsidR="00964C7F" w:rsidRDefault="00B04254" w:rsidP="00964C7F">
      <w:pPr>
        <w:pStyle w:val="BodyText2"/>
        <w:framePr w:w="9897" w:h="12592" w:hRule="exact" w:wrap="none" w:vAnchor="page" w:hAnchor="page" w:x="922" w:y="2965"/>
        <w:shd w:val="clear" w:color="auto" w:fill="auto"/>
        <w:tabs>
          <w:tab w:val="left" w:pos="1710"/>
        </w:tabs>
        <w:spacing w:after="95" w:line="210" w:lineRule="exact"/>
        <w:jc w:val="center"/>
        <w:rPr>
          <w:rFonts w:ascii="Arial" w:hAnsi="Arial" w:cs="Arial"/>
          <w:b/>
          <w:sz w:val="24"/>
          <w:szCs w:val="24"/>
        </w:rPr>
      </w:pPr>
      <w:r w:rsidRPr="00964C7F">
        <w:rPr>
          <w:rFonts w:ascii="Arial" w:hAnsi="Arial" w:cs="Arial"/>
          <w:b/>
          <w:sz w:val="24"/>
          <w:szCs w:val="24"/>
        </w:rPr>
        <w:t xml:space="preserve">POWER FOR FINISHING CHRIST’S UNFINISHED WORK </w:t>
      </w:r>
    </w:p>
    <w:p w:rsidR="00B04254" w:rsidRPr="00964C7F" w:rsidRDefault="00B04254" w:rsidP="00964C7F">
      <w:pPr>
        <w:pStyle w:val="BodyText2"/>
        <w:framePr w:w="9897" w:h="12592" w:hRule="exact" w:wrap="none" w:vAnchor="page" w:hAnchor="page" w:x="922" w:y="2965"/>
        <w:shd w:val="clear" w:color="auto" w:fill="auto"/>
        <w:tabs>
          <w:tab w:val="left" w:pos="1710"/>
        </w:tabs>
        <w:spacing w:after="95" w:line="210" w:lineRule="exact"/>
        <w:jc w:val="center"/>
        <w:rPr>
          <w:rFonts w:ascii="Arial" w:hAnsi="Arial" w:cs="Arial"/>
          <w:b/>
          <w:sz w:val="24"/>
          <w:szCs w:val="24"/>
        </w:rPr>
      </w:pPr>
      <w:r w:rsidRPr="00964C7F">
        <w:rPr>
          <w:rFonts w:ascii="Arial" w:hAnsi="Arial" w:cs="Arial"/>
          <w:b/>
          <w:spacing w:val="0"/>
          <w:sz w:val="24"/>
          <w:szCs w:val="24"/>
        </w:rPr>
        <w:t>Acts 1:1-11</w:t>
      </w:r>
    </w:p>
    <w:p w:rsidR="00B04254" w:rsidRPr="00964C7F" w:rsidRDefault="00B04254" w:rsidP="00964C7F">
      <w:pPr>
        <w:pStyle w:val="BodyText2"/>
        <w:framePr w:w="9897" w:h="12592" w:hRule="exact" w:wrap="none" w:vAnchor="page" w:hAnchor="page" w:x="922" w:y="2965"/>
        <w:shd w:val="clear" w:color="auto" w:fill="auto"/>
        <w:tabs>
          <w:tab w:val="left" w:pos="1530"/>
        </w:tabs>
        <w:spacing w:after="240" w:line="278" w:lineRule="exact"/>
        <w:jc w:val="both"/>
        <w:rPr>
          <w:rFonts w:ascii="Arial" w:hAnsi="Arial" w:cs="Arial"/>
          <w:sz w:val="24"/>
          <w:szCs w:val="24"/>
        </w:rPr>
      </w:pPr>
      <w:r w:rsidRPr="00964C7F">
        <w:rPr>
          <w:rFonts w:ascii="Arial" w:hAnsi="Arial" w:cs="Arial"/>
          <w:sz w:val="24"/>
          <w:szCs w:val="24"/>
        </w:rPr>
        <w:t xml:space="preserve">This is a year of great expectation and realization, a year of great revival and renewal, a year of righteousness and full restoration. Every Bible Study will be the hour of power. We are going to experience the Acts of the Apostles afresh. In the studies, we shall explore together the supernatural power for DAWN - Discipling </w:t>
      </w:r>
      <w:proofErr w:type="gramStart"/>
      <w:r w:rsidRPr="00964C7F">
        <w:rPr>
          <w:rFonts w:ascii="Arial" w:hAnsi="Arial" w:cs="Arial"/>
          <w:sz w:val="24"/>
          <w:szCs w:val="24"/>
        </w:rPr>
        <w:t>A</w:t>
      </w:r>
      <w:proofErr w:type="gramEnd"/>
      <w:r w:rsidRPr="00964C7F">
        <w:rPr>
          <w:rFonts w:ascii="Arial" w:hAnsi="Arial" w:cs="Arial"/>
          <w:sz w:val="24"/>
          <w:szCs w:val="24"/>
        </w:rPr>
        <w:t xml:space="preserve"> Whole Nation, Demonstrating Apostolic Wonders Nationally, Dynamic Anointing Winning Nations, Developing Anointed Witnesses Nationwide, Dethroning Apostates’ Worldly Networks, Discipling Africa With Nationals, Discipling Awakened Western Neighbourhoods. We shall expound and experience the power for personal growth and church growth. We desire to see vibrant and glorious Christianity again as we study the book of Acts of the Apostles.</w:t>
      </w:r>
    </w:p>
    <w:p w:rsidR="00B04254" w:rsidRPr="00964C7F" w:rsidRDefault="00B04254" w:rsidP="00964C7F">
      <w:pPr>
        <w:pStyle w:val="BodyText2"/>
        <w:framePr w:w="9897" w:h="12592" w:hRule="exact" w:wrap="none" w:vAnchor="page" w:hAnchor="page" w:x="922" w:y="2965"/>
        <w:shd w:val="clear" w:color="auto" w:fill="auto"/>
        <w:tabs>
          <w:tab w:val="left" w:pos="1530"/>
        </w:tabs>
        <w:spacing w:after="240" w:line="278" w:lineRule="exact"/>
        <w:jc w:val="both"/>
        <w:rPr>
          <w:rFonts w:ascii="Arial" w:hAnsi="Arial" w:cs="Arial"/>
          <w:sz w:val="24"/>
          <w:szCs w:val="24"/>
        </w:rPr>
      </w:pPr>
      <w:r w:rsidRPr="00964C7F">
        <w:rPr>
          <w:rFonts w:ascii="Arial" w:hAnsi="Arial" w:cs="Arial"/>
          <w:sz w:val="24"/>
          <w:szCs w:val="24"/>
        </w:rPr>
        <w:t>This book throbs with life and thrives with action. In it, we see the Holy Spirit at work, empowering believers, evangelizing the world, building the Church, using believers and Christian preachers to heal the sick and deliver the oppressed. Here, the Holy Spirit so enabled Apostles and disciples to overcome formidable obstacles, spread the gospel everywhere and achieve remarkable results. This inspired history of the early Church, written to reveal how the Church was built and strengthened in the most turbulent period in the world was authored by Luke. The book covers a period of about thirty-three years. It is filled with the supernatural.</w:t>
      </w:r>
    </w:p>
    <w:p w:rsidR="00B04254" w:rsidRPr="00964C7F" w:rsidRDefault="00B04254" w:rsidP="00964C7F">
      <w:pPr>
        <w:pStyle w:val="BodyText2"/>
        <w:framePr w:w="9897" w:h="12592" w:hRule="exact" w:wrap="none" w:vAnchor="page" w:hAnchor="page" w:x="922" w:y="2965"/>
        <w:numPr>
          <w:ilvl w:val="0"/>
          <w:numId w:val="1"/>
        </w:numPr>
        <w:shd w:val="clear" w:color="auto" w:fill="auto"/>
        <w:tabs>
          <w:tab w:val="left" w:pos="402"/>
          <w:tab w:val="left" w:pos="1530"/>
        </w:tabs>
        <w:spacing w:after="0" w:line="278" w:lineRule="exact"/>
        <w:jc w:val="both"/>
        <w:rPr>
          <w:rFonts w:ascii="Arial" w:hAnsi="Arial" w:cs="Arial"/>
          <w:b/>
          <w:sz w:val="28"/>
          <w:szCs w:val="28"/>
        </w:rPr>
      </w:pPr>
      <w:r w:rsidRPr="00964C7F">
        <w:rPr>
          <w:rFonts w:ascii="Arial" w:hAnsi="Arial" w:cs="Arial"/>
          <w:b/>
          <w:sz w:val="28"/>
          <w:szCs w:val="28"/>
        </w:rPr>
        <w:t>THE PERTINENT PURPOSE OF HIS GRACIOUS COMMANDMENT</w:t>
      </w:r>
    </w:p>
    <w:p w:rsidR="00B04254" w:rsidRPr="00964C7F" w:rsidRDefault="00B04254" w:rsidP="00964C7F">
      <w:pPr>
        <w:pStyle w:val="Bodytext21"/>
        <w:framePr w:w="9897" w:h="12592" w:hRule="exact" w:wrap="none" w:vAnchor="page" w:hAnchor="page" w:x="922" w:y="2965"/>
        <w:shd w:val="clear" w:color="auto" w:fill="auto"/>
        <w:tabs>
          <w:tab w:val="left" w:pos="1530"/>
        </w:tabs>
        <w:spacing w:before="0" w:after="240" w:line="278" w:lineRule="exact"/>
        <w:jc w:val="both"/>
        <w:rPr>
          <w:rFonts w:ascii="Arial" w:hAnsi="Arial" w:cs="Arial"/>
          <w:b w:val="0"/>
          <w:sz w:val="24"/>
          <w:szCs w:val="24"/>
        </w:rPr>
      </w:pPr>
      <w:r w:rsidRPr="00964C7F">
        <w:rPr>
          <w:rFonts w:ascii="Arial" w:hAnsi="Arial" w:cs="Arial"/>
          <w:b w:val="0"/>
          <w:sz w:val="24"/>
          <w:szCs w:val="24"/>
        </w:rPr>
        <w:t>Acts 1:1-5; Luke 24:19</w:t>
      </w:r>
      <w:proofErr w:type="gramStart"/>
      <w:r w:rsidRPr="00964C7F">
        <w:rPr>
          <w:rFonts w:ascii="Arial" w:hAnsi="Arial" w:cs="Arial"/>
          <w:b w:val="0"/>
          <w:sz w:val="24"/>
          <w:szCs w:val="24"/>
        </w:rPr>
        <w:t>,45</w:t>
      </w:r>
      <w:proofErr w:type="gramEnd"/>
      <w:r w:rsidRPr="00964C7F">
        <w:rPr>
          <w:rFonts w:ascii="Arial" w:hAnsi="Arial" w:cs="Arial"/>
          <w:b w:val="0"/>
          <w:sz w:val="24"/>
          <w:szCs w:val="24"/>
        </w:rPr>
        <w:t>-49; Psalms 27:14; 62:5,11; Isaiah 40:31; Hosea 10:12; 12:3-6; Matthew 3:11; Luke 3:16; 11:9-13; John 14:15-17,26; Acts 11:15,16.</w:t>
      </w:r>
    </w:p>
    <w:p w:rsidR="00B04254" w:rsidRPr="00964C7F" w:rsidRDefault="00B04254" w:rsidP="00964C7F">
      <w:pPr>
        <w:pStyle w:val="BodyText2"/>
        <w:framePr w:w="9897" w:h="12592" w:hRule="exact" w:wrap="none" w:vAnchor="page" w:hAnchor="page" w:x="922" w:y="2965"/>
        <w:shd w:val="clear" w:color="auto" w:fill="auto"/>
        <w:tabs>
          <w:tab w:val="left" w:pos="1530"/>
        </w:tabs>
        <w:spacing w:after="295" w:line="278" w:lineRule="exact"/>
        <w:jc w:val="both"/>
        <w:rPr>
          <w:rFonts w:ascii="Arial" w:hAnsi="Arial" w:cs="Arial"/>
          <w:sz w:val="24"/>
          <w:szCs w:val="24"/>
        </w:rPr>
      </w:pPr>
      <w:r w:rsidRPr="00964C7F">
        <w:rPr>
          <w:rStyle w:val="Bodytext2NotBold"/>
          <w:rFonts w:ascii="Arial" w:hAnsi="Arial" w:cs="Arial"/>
          <w:sz w:val="24"/>
          <w:szCs w:val="24"/>
        </w:rPr>
        <w:t xml:space="preserve">In </w:t>
      </w:r>
      <w:r w:rsidRPr="00964C7F">
        <w:rPr>
          <w:rFonts w:ascii="Arial" w:hAnsi="Arial" w:cs="Arial"/>
          <w:sz w:val="24"/>
          <w:szCs w:val="24"/>
        </w:rPr>
        <w:t>“the former treatise</w:t>
      </w:r>
      <w:r w:rsidRPr="00964C7F">
        <w:rPr>
          <w:rStyle w:val="Bodytext2NotBold"/>
          <w:rFonts w:ascii="Arial" w:hAnsi="Arial" w:cs="Arial"/>
          <w:sz w:val="24"/>
          <w:szCs w:val="24"/>
        </w:rPr>
        <w:t xml:space="preserve">” written to the </w:t>
      </w:r>
      <w:r w:rsidRPr="00964C7F">
        <w:rPr>
          <w:rFonts w:ascii="Arial" w:hAnsi="Arial" w:cs="Arial"/>
          <w:sz w:val="24"/>
          <w:szCs w:val="24"/>
        </w:rPr>
        <w:t>“most excellent Theophilus</w:t>
      </w:r>
      <w:r w:rsidR="00964C7F" w:rsidRPr="00964C7F">
        <w:rPr>
          <w:rFonts w:ascii="Arial" w:hAnsi="Arial" w:cs="Arial"/>
          <w:sz w:val="24"/>
          <w:szCs w:val="24"/>
        </w:rPr>
        <w:t xml:space="preserve">” </w:t>
      </w:r>
      <w:r w:rsidRPr="00964C7F">
        <w:rPr>
          <w:rFonts w:ascii="Arial" w:hAnsi="Arial" w:cs="Arial"/>
          <w:sz w:val="24"/>
          <w:szCs w:val="24"/>
        </w:rPr>
        <w:t xml:space="preserve">(Luke 1:1-4) </w:t>
      </w:r>
      <w:r w:rsidRPr="00964C7F">
        <w:rPr>
          <w:rFonts w:ascii="Arial" w:hAnsi="Arial" w:cs="Arial"/>
          <w:b/>
          <w:sz w:val="24"/>
          <w:szCs w:val="24"/>
        </w:rPr>
        <w:t>Luke</w:t>
      </w:r>
      <w:r w:rsidRPr="00964C7F">
        <w:rPr>
          <w:rFonts w:ascii="Arial" w:hAnsi="Arial" w:cs="Arial"/>
          <w:sz w:val="24"/>
          <w:szCs w:val="24"/>
        </w:rPr>
        <w:t xml:space="preserve"> </w:t>
      </w:r>
      <w:r w:rsidRPr="00964C7F">
        <w:rPr>
          <w:rFonts w:ascii="Arial" w:hAnsi="Arial" w:cs="Arial"/>
          <w:b/>
          <w:sz w:val="24"/>
          <w:szCs w:val="24"/>
        </w:rPr>
        <w:t>had carefully reported Christ’s miracles and messages, His deeds and doctrine, His supernatural works and saving words,</w:t>
      </w:r>
      <w:r w:rsidRPr="00964C7F">
        <w:rPr>
          <w:rFonts w:ascii="Arial" w:hAnsi="Arial" w:cs="Arial"/>
          <w:sz w:val="24"/>
          <w:szCs w:val="24"/>
        </w:rPr>
        <w:t xml:space="preserve"> </w:t>
      </w:r>
      <w:r w:rsidRPr="00964C7F">
        <w:rPr>
          <w:rStyle w:val="BodytextBold"/>
          <w:rFonts w:ascii="Arial" w:hAnsi="Arial" w:cs="Arial"/>
          <w:sz w:val="24"/>
          <w:szCs w:val="24"/>
        </w:rPr>
        <w:t>“</w:t>
      </w:r>
      <w:r w:rsidRPr="00964C7F">
        <w:rPr>
          <w:rStyle w:val="BodytextBold"/>
          <w:rFonts w:ascii="Arial" w:hAnsi="Arial" w:cs="Arial"/>
          <w:b w:val="0"/>
          <w:sz w:val="24"/>
          <w:szCs w:val="24"/>
        </w:rPr>
        <w:t>all that Jesus began both to do and teach</w:t>
      </w:r>
      <w:r w:rsidRPr="00964C7F">
        <w:rPr>
          <w:rStyle w:val="BodytextBold"/>
          <w:rFonts w:ascii="Arial" w:hAnsi="Arial" w:cs="Arial"/>
          <w:sz w:val="24"/>
          <w:szCs w:val="24"/>
        </w:rPr>
        <w:t>”.</w:t>
      </w:r>
      <w:r w:rsidRPr="00964C7F">
        <w:rPr>
          <w:rFonts w:ascii="Arial" w:hAnsi="Arial" w:cs="Arial"/>
          <w:sz w:val="24"/>
          <w:szCs w:val="24"/>
        </w:rPr>
        <w:t xml:space="preserve"> </w:t>
      </w:r>
      <w:r w:rsidRPr="00964C7F">
        <w:rPr>
          <w:rFonts w:ascii="Arial" w:hAnsi="Arial" w:cs="Arial"/>
          <w:b/>
          <w:sz w:val="24"/>
          <w:szCs w:val="24"/>
        </w:rPr>
        <w:t>Indeed, He was</w:t>
      </w:r>
      <w:r w:rsidRPr="00964C7F">
        <w:rPr>
          <w:rFonts w:ascii="Arial" w:hAnsi="Arial" w:cs="Arial"/>
          <w:sz w:val="24"/>
          <w:szCs w:val="24"/>
        </w:rPr>
        <w:t xml:space="preserve"> </w:t>
      </w:r>
      <w:r w:rsidRPr="00964C7F">
        <w:rPr>
          <w:rStyle w:val="BodytextBold"/>
          <w:rFonts w:ascii="Arial" w:hAnsi="Arial" w:cs="Arial"/>
          <w:sz w:val="24"/>
          <w:szCs w:val="24"/>
        </w:rPr>
        <w:t>“mighty in deed and word before God and all the people</w:t>
      </w:r>
      <w:r w:rsidRPr="00964C7F">
        <w:rPr>
          <w:rFonts w:ascii="Arial" w:hAnsi="Arial" w:cs="Arial"/>
          <w:sz w:val="24"/>
          <w:szCs w:val="24"/>
        </w:rPr>
        <w:t xml:space="preserve"> (Luke 24:19). What Jesus </w:t>
      </w:r>
      <w:r w:rsidRPr="00964C7F">
        <w:rPr>
          <w:rStyle w:val="BodyText1"/>
          <w:rFonts w:ascii="Arial" w:hAnsi="Arial" w:cs="Arial"/>
          <w:sz w:val="24"/>
          <w:szCs w:val="24"/>
        </w:rPr>
        <w:t>began</w:t>
      </w:r>
      <w:r w:rsidRPr="00964C7F">
        <w:rPr>
          <w:rFonts w:ascii="Arial" w:hAnsi="Arial" w:cs="Arial"/>
          <w:sz w:val="24"/>
          <w:szCs w:val="24"/>
        </w:rPr>
        <w:t xml:space="preserve"> to do and teach the Apostles, disciples and the whole Church were to </w:t>
      </w:r>
      <w:proofErr w:type="gramStart"/>
      <w:r w:rsidRPr="00964C7F">
        <w:rPr>
          <w:rFonts w:ascii="Arial" w:hAnsi="Arial" w:cs="Arial"/>
          <w:sz w:val="24"/>
          <w:szCs w:val="24"/>
        </w:rPr>
        <w:t>continue.</w:t>
      </w:r>
      <w:proofErr w:type="gramEnd"/>
      <w:r w:rsidRPr="00964C7F">
        <w:rPr>
          <w:rFonts w:ascii="Arial" w:hAnsi="Arial" w:cs="Arial"/>
          <w:sz w:val="24"/>
          <w:szCs w:val="24"/>
        </w:rPr>
        <w:t xml:space="preserve"> Since they were to preach and proclaim His resurrection in the power of the Holy Ghost, He showed Himself to them as the risen Lord </w:t>
      </w:r>
      <w:r w:rsidRPr="00964C7F">
        <w:rPr>
          <w:rStyle w:val="BodytextBold"/>
          <w:rFonts w:ascii="Arial" w:hAnsi="Arial" w:cs="Arial"/>
          <w:sz w:val="24"/>
          <w:szCs w:val="24"/>
        </w:rPr>
        <w:t>“by many infallible proofs</w:t>
      </w:r>
      <w:r w:rsidRPr="00964C7F">
        <w:rPr>
          <w:rFonts w:ascii="Arial" w:hAnsi="Arial" w:cs="Arial"/>
          <w:sz w:val="24"/>
          <w:szCs w:val="24"/>
        </w:rPr>
        <w:t xml:space="preserve">”. For 40 days before He was </w:t>
      </w:r>
      <w:r w:rsidRPr="00964C7F">
        <w:rPr>
          <w:rStyle w:val="BodytextBold"/>
          <w:rFonts w:ascii="Arial" w:hAnsi="Arial" w:cs="Arial"/>
          <w:sz w:val="24"/>
          <w:szCs w:val="24"/>
        </w:rPr>
        <w:t>“taken up</w:t>
      </w:r>
      <w:r w:rsidRPr="00964C7F">
        <w:rPr>
          <w:rFonts w:ascii="Arial" w:hAnsi="Arial" w:cs="Arial"/>
          <w:sz w:val="24"/>
          <w:szCs w:val="24"/>
        </w:rPr>
        <w:t xml:space="preserve">” (Acts 1:2,9,11,22), He taught them concerning “the </w:t>
      </w:r>
      <w:r w:rsidRPr="00964C7F">
        <w:rPr>
          <w:rStyle w:val="BodytextBold"/>
          <w:rFonts w:ascii="Arial" w:hAnsi="Arial" w:cs="Arial"/>
          <w:sz w:val="24"/>
          <w:szCs w:val="24"/>
        </w:rPr>
        <w:t>Kingdom of God</w:t>
      </w:r>
      <w:r w:rsidRPr="00964C7F">
        <w:rPr>
          <w:rFonts w:ascii="Arial" w:hAnsi="Arial" w:cs="Arial"/>
          <w:sz w:val="24"/>
          <w:szCs w:val="24"/>
        </w:rPr>
        <w:t xml:space="preserve"> ” and commanded them to tarry in Jerusalem, waiting, praying and expecting “the </w:t>
      </w:r>
      <w:r w:rsidRPr="00964C7F">
        <w:rPr>
          <w:rStyle w:val="BodytextBold"/>
          <w:rFonts w:ascii="Arial" w:hAnsi="Arial" w:cs="Arial"/>
          <w:sz w:val="24"/>
          <w:szCs w:val="24"/>
        </w:rPr>
        <w:t>promise of the Father”</w:t>
      </w:r>
      <w:r w:rsidRPr="00964C7F">
        <w:rPr>
          <w:rFonts w:ascii="Arial" w:hAnsi="Arial" w:cs="Arial"/>
          <w:sz w:val="24"/>
          <w:szCs w:val="24"/>
        </w:rPr>
        <w:t xml:space="preserve">, the </w:t>
      </w:r>
      <w:r w:rsidRPr="00964C7F">
        <w:rPr>
          <w:rStyle w:val="BodytextBold"/>
          <w:rFonts w:ascii="Arial" w:hAnsi="Arial" w:cs="Arial"/>
          <w:sz w:val="24"/>
          <w:szCs w:val="24"/>
        </w:rPr>
        <w:t>“baptism with the Holy</w:t>
      </w:r>
      <w:r w:rsidR="00964C7F" w:rsidRPr="00964C7F">
        <w:rPr>
          <w:rStyle w:val="BodytextBold"/>
          <w:rFonts w:ascii="Arial" w:hAnsi="Arial" w:cs="Arial"/>
          <w:sz w:val="24"/>
          <w:szCs w:val="24"/>
        </w:rPr>
        <w:t xml:space="preserve"> </w:t>
      </w:r>
      <w:r w:rsidR="00964C7F" w:rsidRPr="00964C7F">
        <w:rPr>
          <w:rStyle w:val="BodytextBold"/>
          <w:rFonts w:ascii="Arial" w:hAnsi="Arial" w:cs="Arial"/>
          <w:sz w:val="24"/>
          <w:szCs w:val="24"/>
        </w:rPr>
        <w:t>Ghost”,</w:t>
      </w:r>
      <w:r w:rsidR="00964C7F" w:rsidRPr="00964C7F">
        <w:rPr>
          <w:rFonts w:ascii="Arial" w:hAnsi="Arial" w:cs="Arial"/>
          <w:sz w:val="24"/>
          <w:szCs w:val="24"/>
        </w:rPr>
        <w:t xml:space="preserve"> the enduement of </w:t>
      </w:r>
      <w:r w:rsidR="00964C7F" w:rsidRPr="00964C7F">
        <w:rPr>
          <w:rStyle w:val="BodytextBold"/>
          <w:rFonts w:ascii="Arial" w:hAnsi="Arial" w:cs="Arial"/>
          <w:sz w:val="24"/>
          <w:szCs w:val="24"/>
        </w:rPr>
        <w:t>“power from on high’</w:t>
      </w:r>
      <w:r w:rsidR="00964C7F" w:rsidRPr="00964C7F">
        <w:rPr>
          <w:rFonts w:ascii="Arial" w:hAnsi="Arial" w:cs="Arial"/>
          <w:sz w:val="24"/>
          <w:szCs w:val="24"/>
        </w:rPr>
        <w:t xml:space="preserve"> (Luke 24:49). </w:t>
      </w:r>
      <w:proofErr w:type="gramStart"/>
      <w:r w:rsidR="00964C7F" w:rsidRPr="00964C7F">
        <w:rPr>
          <w:rFonts w:ascii="Arial" w:hAnsi="Arial" w:cs="Arial"/>
          <w:sz w:val="24"/>
          <w:szCs w:val="24"/>
        </w:rPr>
        <w:t>But why in Jerusalem, the city of hatred, intimidation, fear and persecution?</w:t>
      </w:r>
      <w:proofErr w:type="gramEnd"/>
      <w:r w:rsidR="00964C7F" w:rsidRPr="00964C7F">
        <w:rPr>
          <w:rFonts w:ascii="Arial" w:hAnsi="Arial" w:cs="Arial"/>
          <w:sz w:val="24"/>
          <w:szCs w:val="24"/>
        </w:rPr>
        <w:t xml:space="preserve"> Why not wait to receive the promise and begin the great work in another city? Jerusalem was the place of divine appointment and in Jerusalem they waited, received the promised power, witnessed, wrought miracles, signs and wonders, raised and grew the Church and won great victories (Acts 1:4,8; 2:5,41; 4:16; 5:16,28; 6:7). They obeyed and waited; we must obey, wait on the Lord and pray until we are </w:t>
      </w:r>
      <w:r w:rsidR="00964C7F" w:rsidRPr="00964C7F">
        <w:rPr>
          <w:rStyle w:val="BodytextBold"/>
          <w:rFonts w:ascii="Arial" w:hAnsi="Arial" w:cs="Arial"/>
          <w:sz w:val="24"/>
          <w:szCs w:val="24"/>
        </w:rPr>
        <w:t>“endued with power from on high</w:t>
      </w:r>
      <w:r w:rsidR="00964C7F" w:rsidRPr="00964C7F">
        <w:rPr>
          <w:rFonts w:ascii="Arial" w:hAnsi="Arial" w:cs="Arial"/>
          <w:sz w:val="24"/>
          <w:szCs w:val="24"/>
        </w:rPr>
        <w:t>.”</w:t>
      </w:r>
    </w:p>
    <w:p w:rsidR="001D141C" w:rsidRPr="00964C7F" w:rsidRDefault="001D141C" w:rsidP="00964C7F">
      <w:pPr>
        <w:pBdr>
          <w:bottom w:val="single" w:sz="12" w:space="0" w:color="auto"/>
        </w:pBdr>
        <w:tabs>
          <w:tab w:val="left" w:pos="1530"/>
        </w:tabs>
        <w:autoSpaceDE w:val="0"/>
        <w:autoSpaceDN w:val="0"/>
        <w:adjustRightInd w:val="0"/>
        <w:spacing w:line="240" w:lineRule="atLeast"/>
        <w:jc w:val="center"/>
        <w:rPr>
          <w:rFonts w:ascii="Arial" w:eastAsia="Times New Roman" w:hAnsi="Arial" w:cs="Arial"/>
        </w:rPr>
      </w:pPr>
      <w:r w:rsidRPr="00964C7F">
        <w:rPr>
          <w:rFonts w:ascii="Arial" w:eastAsia="Times New Roman" w:hAnsi="Arial" w:cs="Arial"/>
        </w:rPr>
        <w:t xml:space="preserve">Tel: 1-876-923-1040; 359-2959 E-mail: </w:t>
      </w:r>
      <w:hyperlink r:id="rId10" w:history="1">
        <w:r w:rsidRPr="00964C7F">
          <w:rPr>
            <w:rStyle w:val="Hyperlink"/>
            <w:rFonts w:ascii="Arial" w:eastAsia="Times New Roman" w:hAnsi="Arial" w:cs="Arial"/>
            <w:color w:val="auto"/>
          </w:rPr>
          <w:t>deeperlifejamaica@yahoo.com</w:t>
        </w:r>
      </w:hyperlink>
    </w:p>
    <w:p w:rsidR="00E553BC" w:rsidRPr="00964C7F" w:rsidRDefault="00E553BC" w:rsidP="00964C7F">
      <w:pPr>
        <w:tabs>
          <w:tab w:val="left" w:pos="1530"/>
        </w:tabs>
        <w:rPr>
          <w:rFonts w:ascii="Arial" w:hAnsi="Arial" w:cs="Arial"/>
        </w:rPr>
        <w:sectPr w:rsidR="00E553BC" w:rsidRPr="00964C7F">
          <w:pgSz w:w="12240" w:h="15840"/>
          <w:pgMar w:top="0" w:right="0" w:bottom="0" w:left="0" w:header="0" w:footer="3" w:gutter="0"/>
          <w:cols w:space="720"/>
          <w:noEndnote/>
          <w:docGrid w:linePitch="360"/>
        </w:sectPr>
      </w:pPr>
    </w:p>
    <w:p w:rsidR="00964C7F" w:rsidRDefault="00964C7F" w:rsidP="00964C7F">
      <w:pPr>
        <w:pStyle w:val="Heading11"/>
        <w:framePr w:w="9679" w:h="13648" w:hRule="exact" w:wrap="none" w:vAnchor="page" w:hAnchor="page" w:x="1073" w:y="1491"/>
        <w:shd w:val="clear" w:color="auto" w:fill="auto"/>
        <w:tabs>
          <w:tab w:val="left" w:pos="711"/>
          <w:tab w:val="left" w:pos="1530"/>
        </w:tabs>
        <w:spacing w:before="0" w:after="0" w:line="210" w:lineRule="exact"/>
        <w:rPr>
          <w:rFonts w:ascii="Arial" w:hAnsi="Arial" w:cs="Arial"/>
          <w:sz w:val="24"/>
          <w:szCs w:val="24"/>
        </w:rPr>
      </w:pPr>
      <w:bookmarkStart w:id="0" w:name="bookmark0"/>
      <w:r>
        <w:rPr>
          <w:rFonts w:ascii="Arial" w:hAnsi="Arial" w:cs="Arial"/>
          <w:sz w:val="24"/>
          <w:szCs w:val="24"/>
        </w:rPr>
        <w:lastRenderedPageBreak/>
        <w:t xml:space="preserve"> </w:t>
      </w:r>
    </w:p>
    <w:p w:rsidR="00E553BC" w:rsidRPr="00964C7F" w:rsidRDefault="00964C7F" w:rsidP="00964C7F">
      <w:pPr>
        <w:pStyle w:val="Heading11"/>
        <w:framePr w:w="9679" w:h="13648" w:hRule="exact" w:wrap="none" w:vAnchor="page" w:hAnchor="page" w:x="1073" w:y="1491"/>
        <w:numPr>
          <w:ilvl w:val="0"/>
          <w:numId w:val="1"/>
        </w:numPr>
        <w:shd w:val="clear" w:color="auto" w:fill="auto"/>
        <w:tabs>
          <w:tab w:val="left" w:pos="711"/>
          <w:tab w:val="left" w:pos="1440"/>
          <w:tab w:val="left" w:pos="1530"/>
        </w:tabs>
        <w:spacing w:before="0" w:after="0" w:line="210" w:lineRule="exact"/>
        <w:jc w:val="center"/>
        <w:rPr>
          <w:rFonts w:ascii="Arial" w:hAnsi="Arial" w:cs="Arial"/>
          <w:b/>
          <w:sz w:val="24"/>
          <w:szCs w:val="24"/>
        </w:rPr>
      </w:pPr>
      <w:r w:rsidRPr="00964C7F">
        <w:rPr>
          <w:rFonts w:ascii="Arial" w:hAnsi="Arial" w:cs="Arial"/>
          <w:b/>
          <w:sz w:val="24"/>
          <w:szCs w:val="24"/>
        </w:rPr>
        <w:t>THE PROMISED POWER FOR THE GREAT COMMISSION</w:t>
      </w:r>
      <w:bookmarkEnd w:id="0"/>
    </w:p>
    <w:p w:rsidR="00E553BC" w:rsidRPr="00964C7F" w:rsidRDefault="00A46B1D" w:rsidP="00964C7F">
      <w:pPr>
        <w:pStyle w:val="Bodytext21"/>
        <w:framePr w:w="9679" w:h="13648" w:hRule="exact" w:wrap="none" w:vAnchor="page" w:hAnchor="page" w:x="1073" w:y="1491"/>
        <w:shd w:val="clear" w:color="auto" w:fill="auto"/>
        <w:tabs>
          <w:tab w:val="left" w:pos="1530"/>
        </w:tabs>
        <w:spacing w:before="0" w:after="240" w:line="278" w:lineRule="exact"/>
        <w:jc w:val="both"/>
        <w:rPr>
          <w:rFonts w:ascii="Arial" w:hAnsi="Arial" w:cs="Arial"/>
          <w:b w:val="0"/>
          <w:sz w:val="24"/>
          <w:szCs w:val="24"/>
        </w:rPr>
      </w:pPr>
      <w:r w:rsidRPr="00964C7F">
        <w:rPr>
          <w:rFonts w:ascii="Arial" w:hAnsi="Arial" w:cs="Arial"/>
          <w:b w:val="0"/>
          <w:sz w:val="24"/>
          <w:szCs w:val="24"/>
        </w:rPr>
        <w:t>Acts 1:6-8; Micah 3:8; Luke 1:15-17,35; 24:47-49; Acts 4:31,33; 6:5,8,10; Romans 15:13,19; 1 Corinthians 2:4,5; Acts 2:32,33,38,39; 5:32.</w:t>
      </w:r>
    </w:p>
    <w:p w:rsidR="00E553BC" w:rsidRPr="00964C7F" w:rsidRDefault="00A46B1D" w:rsidP="00964C7F">
      <w:pPr>
        <w:pStyle w:val="BodyText2"/>
        <w:framePr w:w="9679" w:h="13648" w:hRule="exact" w:wrap="none" w:vAnchor="page" w:hAnchor="page" w:x="1073" w:y="1491"/>
        <w:shd w:val="clear" w:color="auto" w:fill="auto"/>
        <w:tabs>
          <w:tab w:val="left" w:pos="1530"/>
        </w:tabs>
        <w:spacing w:after="240" w:line="278" w:lineRule="exact"/>
        <w:jc w:val="both"/>
        <w:rPr>
          <w:rFonts w:ascii="Arial" w:hAnsi="Arial" w:cs="Arial"/>
          <w:sz w:val="24"/>
          <w:szCs w:val="24"/>
        </w:rPr>
      </w:pPr>
      <w:r w:rsidRPr="00964C7F">
        <w:rPr>
          <w:rStyle w:val="BodytextBold"/>
          <w:rFonts w:ascii="Arial" w:hAnsi="Arial" w:cs="Arial"/>
          <w:sz w:val="24"/>
          <w:szCs w:val="24"/>
        </w:rPr>
        <w:t>“Lord, wilt thou at this time restore again the kingdom to Israel? It is not for you to know, but ye shall receive power.”</w:t>
      </w:r>
      <w:r w:rsidRPr="00964C7F">
        <w:rPr>
          <w:rFonts w:ascii="Arial" w:hAnsi="Arial" w:cs="Arial"/>
          <w:sz w:val="24"/>
          <w:szCs w:val="24"/>
        </w:rPr>
        <w:t xml:space="preserve"> Our curiosity often hinders our spirituality and responsibility. “</w:t>
      </w:r>
      <w:r w:rsidRPr="00964C7F">
        <w:rPr>
          <w:rStyle w:val="BodytextBold"/>
          <w:rFonts w:ascii="Arial" w:hAnsi="Arial" w:cs="Arial"/>
          <w:sz w:val="24"/>
          <w:szCs w:val="24"/>
        </w:rPr>
        <w:t>Lord, and what shall this man do</w:t>
      </w:r>
      <w:proofErr w:type="gramStart"/>
      <w:r w:rsidRPr="00964C7F">
        <w:rPr>
          <w:rStyle w:val="BodytextBold"/>
          <w:rFonts w:ascii="Arial" w:hAnsi="Arial" w:cs="Arial"/>
          <w:sz w:val="24"/>
          <w:szCs w:val="24"/>
        </w:rPr>
        <w:t>?</w:t>
      </w:r>
      <w:r w:rsidRPr="00964C7F">
        <w:rPr>
          <w:rFonts w:ascii="Arial" w:hAnsi="Arial" w:cs="Arial"/>
          <w:sz w:val="24"/>
          <w:szCs w:val="24"/>
        </w:rPr>
        <w:t xml:space="preserve"> ”</w:t>
      </w:r>
      <w:proofErr w:type="gramEnd"/>
      <w:r w:rsidRPr="00964C7F">
        <w:rPr>
          <w:rFonts w:ascii="Arial" w:hAnsi="Arial" w:cs="Arial"/>
          <w:sz w:val="24"/>
          <w:szCs w:val="24"/>
        </w:rPr>
        <w:t xml:space="preserve"> (John 21:21). It is not for you to know but ye shall receive power. </w:t>
      </w:r>
      <w:r w:rsidRPr="00964C7F">
        <w:rPr>
          <w:rStyle w:val="BodytextBold"/>
          <w:rFonts w:ascii="Arial" w:hAnsi="Arial" w:cs="Arial"/>
          <w:sz w:val="24"/>
          <w:szCs w:val="24"/>
        </w:rPr>
        <w:t xml:space="preserve">“Lord, are there few </w:t>
      </w:r>
      <w:r w:rsidRPr="00964C7F">
        <w:rPr>
          <w:rStyle w:val="BodytextBold1"/>
          <w:rFonts w:ascii="Arial" w:hAnsi="Arial" w:cs="Arial"/>
          <w:sz w:val="24"/>
          <w:szCs w:val="24"/>
        </w:rPr>
        <w:t>that</w:t>
      </w:r>
      <w:r w:rsidRPr="00964C7F">
        <w:rPr>
          <w:rStyle w:val="BodytextBold"/>
          <w:rFonts w:ascii="Arial" w:hAnsi="Arial" w:cs="Arial"/>
          <w:sz w:val="24"/>
          <w:szCs w:val="24"/>
        </w:rPr>
        <w:t xml:space="preserve"> be saved</w:t>
      </w:r>
      <w:proofErr w:type="gramStart"/>
      <w:r w:rsidRPr="00964C7F">
        <w:rPr>
          <w:rStyle w:val="BodytextBold"/>
          <w:rFonts w:ascii="Arial" w:hAnsi="Arial" w:cs="Arial"/>
          <w:sz w:val="24"/>
          <w:szCs w:val="24"/>
        </w:rPr>
        <w:t>?</w:t>
      </w:r>
      <w:r w:rsidRPr="00964C7F">
        <w:rPr>
          <w:rFonts w:ascii="Arial" w:hAnsi="Arial" w:cs="Arial"/>
          <w:sz w:val="24"/>
          <w:szCs w:val="24"/>
        </w:rPr>
        <w:t xml:space="preserve"> ”</w:t>
      </w:r>
      <w:proofErr w:type="gramEnd"/>
      <w:r w:rsidRPr="00964C7F">
        <w:rPr>
          <w:rFonts w:ascii="Arial" w:hAnsi="Arial" w:cs="Arial"/>
          <w:sz w:val="24"/>
          <w:szCs w:val="24"/>
        </w:rPr>
        <w:t xml:space="preserve"> (Luke 13:23). It is not for you to know but ye shall receive power. “Lord, who did sin that this man was born blind?” (John 9:2). It is not for you to know but ye shall receive power. </w:t>
      </w:r>
      <w:r w:rsidRPr="00964C7F">
        <w:rPr>
          <w:rStyle w:val="BodytextBold"/>
          <w:rFonts w:ascii="Arial" w:hAnsi="Arial" w:cs="Arial"/>
          <w:sz w:val="24"/>
          <w:szCs w:val="24"/>
        </w:rPr>
        <w:t xml:space="preserve">“How are the dead raised up? </w:t>
      </w:r>
      <w:proofErr w:type="gramStart"/>
      <w:r w:rsidRPr="00964C7F">
        <w:rPr>
          <w:rStyle w:val="BodytextBold"/>
          <w:rFonts w:ascii="Arial" w:hAnsi="Arial" w:cs="Arial"/>
          <w:sz w:val="24"/>
          <w:szCs w:val="24"/>
        </w:rPr>
        <w:t>and</w:t>
      </w:r>
      <w:proofErr w:type="gramEnd"/>
      <w:r w:rsidRPr="00964C7F">
        <w:rPr>
          <w:rStyle w:val="BodytextBold"/>
          <w:rFonts w:ascii="Arial" w:hAnsi="Arial" w:cs="Arial"/>
          <w:sz w:val="24"/>
          <w:szCs w:val="24"/>
        </w:rPr>
        <w:t xml:space="preserve"> with what body do they come?</w:t>
      </w:r>
      <w:r w:rsidRPr="00964C7F">
        <w:rPr>
          <w:rFonts w:ascii="Arial" w:hAnsi="Arial" w:cs="Arial"/>
          <w:sz w:val="24"/>
          <w:szCs w:val="24"/>
        </w:rPr>
        <w:t xml:space="preserve"> </w:t>
      </w:r>
      <w:proofErr w:type="gramStart"/>
      <w:r w:rsidRPr="00964C7F">
        <w:rPr>
          <w:rFonts w:ascii="Arial" w:hAnsi="Arial" w:cs="Arial"/>
          <w:sz w:val="24"/>
          <w:szCs w:val="24"/>
        </w:rPr>
        <w:t>” (1 Corinthians 15:35).</w:t>
      </w:r>
      <w:proofErr w:type="gramEnd"/>
      <w:r w:rsidRPr="00964C7F">
        <w:rPr>
          <w:rFonts w:ascii="Arial" w:hAnsi="Arial" w:cs="Arial"/>
          <w:sz w:val="24"/>
          <w:szCs w:val="24"/>
        </w:rPr>
        <w:t xml:space="preserve"> It is not for you to know but ye shall receive power.</w:t>
      </w:r>
    </w:p>
    <w:p w:rsidR="00E553BC" w:rsidRPr="00964C7F" w:rsidRDefault="00A46B1D" w:rsidP="00964C7F">
      <w:pPr>
        <w:pStyle w:val="BodyText2"/>
        <w:framePr w:w="9679" w:h="13648" w:hRule="exact" w:wrap="none" w:vAnchor="page" w:hAnchor="page" w:x="1073" w:y="1491"/>
        <w:shd w:val="clear" w:color="auto" w:fill="auto"/>
        <w:tabs>
          <w:tab w:val="left" w:pos="1530"/>
        </w:tabs>
        <w:spacing w:after="295" w:line="278" w:lineRule="exact"/>
        <w:jc w:val="both"/>
        <w:rPr>
          <w:rFonts w:ascii="Arial" w:hAnsi="Arial" w:cs="Arial"/>
          <w:sz w:val="24"/>
          <w:szCs w:val="24"/>
        </w:rPr>
      </w:pPr>
      <w:r w:rsidRPr="00964C7F">
        <w:rPr>
          <w:rFonts w:ascii="Arial" w:hAnsi="Arial" w:cs="Arial"/>
          <w:sz w:val="24"/>
          <w:szCs w:val="24"/>
        </w:rPr>
        <w:t xml:space="preserve">Those who really desire power for DAWN (Destroying All Wicked Networks) must not allow the natural man’s curiosity to divert their attention to things which are not their concern. In pursuit of Dynamic Anointing to Win Nations, we must Disregard All Worthless Non-essentials. Drop all speculations and seek the power of the Holy Ghost to do </w:t>
      </w:r>
      <w:proofErr w:type="gramStart"/>
      <w:r w:rsidRPr="00964C7F">
        <w:rPr>
          <w:rFonts w:ascii="Arial" w:hAnsi="Arial" w:cs="Arial"/>
          <w:sz w:val="24"/>
          <w:szCs w:val="24"/>
        </w:rPr>
        <w:t>exploits</w:t>
      </w:r>
      <w:proofErr w:type="gramEnd"/>
      <w:r w:rsidRPr="00964C7F">
        <w:rPr>
          <w:rFonts w:ascii="Arial" w:hAnsi="Arial" w:cs="Arial"/>
          <w:sz w:val="24"/>
          <w:szCs w:val="24"/>
        </w:rPr>
        <w:t xml:space="preserve"> for God’s Kingdom. </w:t>
      </w:r>
      <w:r w:rsidRPr="00964C7F">
        <w:rPr>
          <w:rStyle w:val="BodytextBold"/>
          <w:rFonts w:ascii="Arial" w:hAnsi="Arial" w:cs="Arial"/>
          <w:sz w:val="24"/>
          <w:szCs w:val="24"/>
        </w:rPr>
        <w:t xml:space="preserve">“Ye shall receive power after </w:t>
      </w:r>
      <w:r w:rsidRPr="00964C7F">
        <w:rPr>
          <w:rStyle w:val="BodytextBold1"/>
          <w:rFonts w:ascii="Arial" w:hAnsi="Arial" w:cs="Arial"/>
          <w:sz w:val="24"/>
          <w:szCs w:val="24"/>
        </w:rPr>
        <w:t>that</w:t>
      </w:r>
      <w:r w:rsidRPr="00964C7F">
        <w:rPr>
          <w:rStyle w:val="BodytextBold"/>
          <w:rFonts w:ascii="Arial" w:hAnsi="Arial" w:cs="Arial"/>
          <w:sz w:val="24"/>
          <w:szCs w:val="24"/>
        </w:rPr>
        <w:t xml:space="preserve"> </w:t>
      </w:r>
      <w:r w:rsidRPr="00964C7F">
        <w:rPr>
          <w:rStyle w:val="BodytextBold1"/>
          <w:rFonts w:ascii="Arial" w:hAnsi="Arial" w:cs="Arial"/>
          <w:sz w:val="24"/>
          <w:szCs w:val="24"/>
        </w:rPr>
        <w:t>the</w:t>
      </w:r>
      <w:r w:rsidRPr="00964C7F">
        <w:rPr>
          <w:rStyle w:val="BodytextBold"/>
          <w:rFonts w:ascii="Arial" w:hAnsi="Arial" w:cs="Arial"/>
          <w:sz w:val="24"/>
          <w:szCs w:val="24"/>
        </w:rPr>
        <w:t xml:space="preserve"> Holy Ghost is come upon you.”</w:t>
      </w:r>
      <w:r w:rsidRPr="00964C7F">
        <w:rPr>
          <w:rFonts w:ascii="Arial" w:hAnsi="Arial" w:cs="Arial"/>
          <w:sz w:val="24"/>
          <w:szCs w:val="24"/>
        </w:rPr>
        <w:t xml:space="preserve"> This power is indispensable for effectiveness in Christian witness and ministry. Great talents and intensive training without spiritual power will prove ineffective in this great work of eternal consequence. We must seek and receive the power of the Holy Ghost.</w:t>
      </w:r>
    </w:p>
    <w:p w:rsidR="00E553BC" w:rsidRPr="00964C7F" w:rsidRDefault="00A46B1D" w:rsidP="00964C7F">
      <w:pPr>
        <w:pStyle w:val="Heading11"/>
        <w:framePr w:w="9679" w:h="13648" w:hRule="exact" w:wrap="none" w:vAnchor="page" w:hAnchor="page" w:x="1073" w:y="1491"/>
        <w:numPr>
          <w:ilvl w:val="0"/>
          <w:numId w:val="1"/>
        </w:numPr>
        <w:shd w:val="clear" w:color="auto" w:fill="auto"/>
        <w:tabs>
          <w:tab w:val="left" w:pos="720"/>
          <w:tab w:val="left" w:pos="1530"/>
        </w:tabs>
        <w:spacing w:before="0" w:after="0" w:line="210" w:lineRule="exact"/>
        <w:rPr>
          <w:rFonts w:ascii="Arial" w:hAnsi="Arial" w:cs="Arial"/>
          <w:sz w:val="24"/>
          <w:szCs w:val="28"/>
        </w:rPr>
      </w:pPr>
      <w:bookmarkStart w:id="1" w:name="bookmark1"/>
      <w:bookmarkStart w:id="2" w:name="_GoBack"/>
      <w:r w:rsidRPr="00964C7F">
        <w:rPr>
          <w:rFonts w:ascii="Arial" w:hAnsi="Arial" w:cs="Arial"/>
          <w:sz w:val="24"/>
          <w:szCs w:val="28"/>
        </w:rPr>
        <w:t>THE PROPHETIC PROCLAMATION OF HIS GLORIOUS COMING</w:t>
      </w:r>
      <w:bookmarkEnd w:id="1"/>
    </w:p>
    <w:bookmarkEnd w:id="2"/>
    <w:p w:rsidR="00E553BC" w:rsidRPr="00964C7F" w:rsidRDefault="00A46B1D" w:rsidP="00964C7F">
      <w:pPr>
        <w:pStyle w:val="Bodytext21"/>
        <w:framePr w:w="9679" w:h="13648" w:hRule="exact" w:wrap="none" w:vAnchor="page" w:hAnchor="page" w:x="1073" w:y="1491"/>
        <w:shd w:val="clear" w:color="auto" w:fill="auto"/>
        <w:tabs>
          <w:tab w:val="left" w:pos="1530"/>
        </w:tabs>
        <w:spacing w:before="0" w:after="240" w:line="278" w:lineRule="exact"/>
        <w:jc w:val="both"/>
        <w:rPr>
          <w:rFonts w:ascii="Arial" w:hAnsi="Arial" w:cs="Arial"/>
          <w:b w:val="0"/>
          <w:sz w:val="24"/>
          <w:szCs w:val="24"/>
        </w:rPr>
      </w:pPr>
      <w:r w:rsidRPr="00964C7F">
        <w:rPr>
          <w:rFonts w:ascii="Arial" w:hAnsi="Arial" w:cs="Arial"/>
          <w:b w:val="0"/>
          <w:sz w:val="24"/>
          <w:szCs w:val="24"/>
        </w:rPr>
        <w:t>Acts 1:9-11; Mark 16:19; Luke 24:50</w:t>
      </w:r>
      <w:proofErr w:type="gramStart"/>
      <w:r w:rsidRPr="00964C7F">
        <w:rPr>
          <w:rFonts w:ascii="Arial" w:hAnsi="Arial" w:cs="Arial"/>
          <w:b w:val="0"/>
          <w:sz w:val="24"/>
          <w:szCs w:val="24"/>
        </w:rPr>
        <w:t>,51</w:t>
      </w:r>
      <w:proofErr w:type="gramEnd"/>
      <w:r w:rsidRPr="00964C7F">
        <w:rPr>
          <w:rFonts w:ascii="Arial" w:hAnsi="Arial" w:cs="Arial"/>
          <w:b w:val="0"/>
          <w:sz w:val="24"/>
          <w:szCs w:val="24"/>
        </w:rPr>
        <w:t>; John 14:1-3; 1 Thessalonians 4:15-17; Revelation 1:7; 3:11; 22:12-14,20; Luke 19:10,13; Matthew 25:1</w:t>
      </w:r>
      <w:r w:rsidRPr="00964C7F">
        <w:rPr>
          <w:rFonts w:ascii="Arial" w:hAnsi="Arial" w:cs="Arial"/>
          <w:b w:val="0"/>
          <w:sz w:val="24"/>
          <w:szCs w:val="24"/>
        </w:rPr>
        <w:softHyphen/>
        <w:t>13; 1 John 2:28; Revelation 2:25-27.</w:t>
      </w:r>
    </w:p>
    <w:p w:rsidR="00964C7F" w:rsidRPr="00964C7F" w:rsidRDefault="00A46B1D" w:rsidP="00964C7F">
      <w:pPr>
        <w:pStyle w:val="Bodytext21"/>
        <w:framePr w:w="9679" w:h="13648" w:hRule="exact" w:wrap="none" w:vAnchor="page" w:hAnchor="page" w:x="1073" w:y="1491"/>
        <w:shd w:val="clear" w:color="auto" w:fill="auto"/>
        <w:tabs>
          <w:tab w:val="left" w:pos="1530"/>
        </w:tabs>
        <w:spacing w:before="0" w:after="240" w:line="278" w:lineRule="exact"/>
        <w:jc w:val="both"/>
        <w:rPr>
          <w:rFonts w:ascii="Arial" w:hAnsi="Arial" w:cs="Arial"/>
          <w:b w:val="0"/>
          <w:sz w:val="24"/>
          <w:szCs w:val="24"/>
        </w:rPr>
      </w:pPr>
      <w:r w:rsidRPr="00964C7F">
        <w:rPr>
          <w:rFonts w:ascii="Arial" w:hAnsi="Arial" w:cs="Arial"/>
          <w:b w:val="0"/>
          <w:sz w:val="24"/>
          <w:szCs w:val="24"/>
        </w:rPr>
        <w:t xml:space="preserve">The great Commission, the final commandment had been given. Thereafter Christ blessed His disciples. His blessing was enriching but they must still wait and pray, believing until they received the supernatural power of the Holy Ghost. As soon as He had commissioned and blessed them, He was </w:t>
      </w:r>
      <w:r w:rsidRPr="00964C7F">
        <w:rPr>
          <w:rStyle w:val="BodytextBold"/>
          <w:rFonts w:ascii="Arial" w:hAnsi="Arial" w:cs="Arial"/>
          <w:sz w:val="24"/>
          <w:szCs w:val="24"/>
        </w:rPr>
        <w:t>“taken up into heaven</w:t>
      </w:r>
      <w:r w:rsidRPr="00964C7F">
        <w:rPr>
          <w:rFonts w:ascii="Arial" w:hAnsi="Arial" w:cs="Arial"/>
          <w:b w:val="0"/>
          <w:sz w:val="24"/>
          <w:szCs w:val="24"/>
        </w:rPr>
        <w:t>”. What a spectacular event; what an unusual</w:t>
      </w:r>
      <w:r w:rsidR="00964C7F" w:rsidRPr="00964C7F">
        <w:rPr>
          <w:rFonts w:ascii="Arial" w:hAnsi="Arial" w:cs="Arial"/>
          <w:b w:val="0"/>
          <w:sz w:val="24"/>
          <w:szCs w:val="24"/>
        </w:rPr>
        <w:t xml:space="preserve"> </w:t>
      </w:r>
      <w:r w:rsidR="00964C7F" w:rsidRPr="00964C7F">
        <w:rPr>
          <w:rStyle w:val="Bodytext2NotBold"/>
          <w:rFonts w:ascii="Arial" w:hAnsi="Arial" w:cs="Arial"/>
          <w:sz w:val="24"/>
          <w:szCs w:val="24"/>
        </w:rPr>
        <w:t xml:space="preserve">happening! Heaven is real. The risen Lord was </w:t>
      </w:r>
      <w:r w:rsidR="00964C7F" w:rsidRPr="00964C7F">
        <w:rPr>
          <w:rFonts w:ascii="Arial" w:hAnsi="Arial" w:cs="Arial"/>
          <w:b w:val="0"/>
          <w:sz w:val="24"/>
          <w:szCs w:val="24"/>
        </w:rPr>
        <w:t>“taken up</w:t>
      </w:r>
      <w:r w:rsidR="00964C7F" w:rsidRPr="00964C7F">
        <w:rPr>
          <w:rStyle w:val="Bodytext2NotBold"/>
          <w:rFonts w:ascii="Arial" w:hAnsi="Arial" w:cs="Arial"/>
          <w:sz w:val="24"/>
          <w:szCs w:val="24"/>
        </w:rPr>
        <w:t>” (Acts 1:9</w:t>
      </w:r>
      <w:proofErr w:type="gramStart"/>
      <w:r w:rsidR="00964C7F" w:rsidRPr="00964C7F">
        <w:rPr>
          <w:rStyle w:val="Bodytext2NotBold"/>
          <w:rFonts w:ascii="Arial" w:hAnsi="Arial" w:cs="Arial"/>
          <w:sz w:val="24"/>
          <w:szCs w:val="24"/>
        </w:rPr>
        <w:t>,11,22</w:t>
      </w:r>
      <w:proofErr w:type="gramEnd"/>
      <w:r w:rsidR="00964C7F" w:rsidRPr="00964C7F">
        <w:rPr>
          <w:rStyle w:val="Bodytext2NotBold"/>
          <w:rFonts w:ascii="Arial" w:hAnsi="Arial" w:cs="Arial"/>
          <w:sz w:val="24"/>
          <w:szCs w:val="24"/>
        </w:rPr>
        <w:t xml:space="preserve">), and while the disciples beheld, </w:t>
      </w:r>
      <w:r w:rsidR="00964C7F" w:rsidRPr="00964C7F">
        <w:rPr>
          <w:rFonts w:ascii="Arial" w:hAnsi="Arial" w:cs="Arial"/>
          <w:b w:val="0"/>
          <w:sz w:val="24"/>
          <w:szCs w:val="24"/>
        </w:rPr>
        <w:t>“a cloud received Him out of their sight.”</w:t>
      </w:r>
      <w:r w:rsidR="00964C7F" w:rsidRPr="00964C7F">
        <w:rPr>
          <w:rStyle w:val="Bodytext2NotBold"/>
          <w:rFonts w:ascii="Arial" w:hAnsi="Arial" w:cs="Arial"/>
          <w:sz w:val="24"/>
          <w:szCs w:val="24"/>
        </w:rPr>
        <w:t xml:space="preserve"> Then two angels (two men in white apparel) assured them that </w:t>
      </w:r>
      <w:r w:rsidR="00964C7F" w:rsidRPr="00964C7F">
        <w:rPr>
          <w:rFonts w:ascii="Arial" w:hAnsi="Arial" w:cs="Arial"/>
          <w:b w:val="0"/>
          <w:sz w:val="24"/>
          <w:szCs w:val="24"/>
        </w:rPr>
        <w:t xml:space="preserve">“this same Jesus, </w:t>
      </w:r>
      <w:proofErr w:type="gramStart"/>
      <w:r w:rsidR="00964C7F" w:rsidRPr="00964C7F">
        <w:rPr>
          <w:rFonts w:ascii="Arial" w:hAnsi="Arial" w:cs="Arial"/>
          <w:b w:val="0"/>
          <w:sz w:val="24"/>
          <w:szCs w:val="24"/>
        </w:rPr>
        <w:t>which</w:t>
      </w:r>
      <w:proofErr w:type="gramEnd"/>
      <w:r w:rsidR="00964C7F" w:rsidRPr="00964C7F">
        <w:rPr>
          <w:rFonts w:ascii="Arial" w:hAnsi="Arial" w:cs="Arial"/>
          <w:b w:val="0"/>
          <w:sz w:val="24"/>
          <w:szCs w:val="24"/>
        </w:rPr>
        <w:t xml:space="preserve"> is taken up from you into heaven, shall so come in like manner as ye have seen Him go into heaven.”</w:t>
      </w:r>
    </w:p>
    <w:p w:rsidR="00964C7F" w:rsidRPr="00964C7F" w:rsidRDefault="00964C7F" w:rsidP="00964C7F">
      <w:pPr>
        <w:pStyle w:val="BodyText2"/>
        <w:framePr w:w="9679" w:h="13648" w:hRule="exact" w:wrap="none" w:vAnchor="page" w:hAnchor="page" w:x="1073" w:y="1491"/>
        <w:shd w:val="clear" w:color="auto" w:fill="auto"/>
        <w:tabs>
          <w:tab w:val="left" w:pos="1530"/>
        </w:tabs>
        <w:spacing w:after="231" w:line="278" w:lineRule="exact"/>
        <w:jc w:val="both"/>
        <w:rPr>
          <w:rFonts w:ascii="Arial" w:hAnsi="Arial" w:cs="Arial"/>
          <w:sz w:val="24"/>
          <w:szCs w:val="24"/>
        </w:rPr>
      </w:pPr>
      <w:r w:rsidRPr="00964C7F">
        <w:rPr>
          <w:rFonts w:ascii="Arial" w:hAnsi="Arial" w:cs="Arial"/>
          <w:sz w:val="24"/>
          <w:szCs w:val="24"/>
        </w:rPr>
        <w:t xml:space="preserve">While the Apostles and disciples appeared lost in wonder and worship </w:t>
      </w:r>
      <w:r w:rsidRPr="00964C7F">
        <w:rPr>
          <w:rStyle w:val="BodytextBold"/>
          <w:rFonts w:ascii="Arial" w:hAnsi="Arial" w:cs="Arial"/>
          <w:b w:val="0"/>
          <w:sz w:val="24"/>
          <w:szCs w:val="24"/>
        </w:rPr>
        <w:t>“gazing up into heaven”,</w:t>
      </w:r>
      <w:r w:rsidRPr="00964C7F">
        <w:rPr>
          <w:rFonts w:ascii="Arial" w:hAnsi="Arial" w:cs="Arial"/>
          <w:sz w:val="24"/>
          <w:szCs w:val="24"/>
        </w:rPr>
        <w:t xml:space="preserve"> the two angels (two for confirmation) assured them of Christ’s Second Coming at the appointed time. The angelic proclamation gave a sure prophecy and a clear promise that Christ will return as many prophecies of Scripture affirm. The rapture of the Church is certain; Christ’s Second Coming is sure; His return to reign on earth is guaranteed by the divine decree. Instead of idly standing by, pray, receive power, preach and </w:t>
      </w:r>
      <w:r w:rsidRPr="00964C7F">
        <w:rPr>
          <w:rStyle w:val="BodytextBold"/>
          <w:rFonts w:ascii="Arial" w:hAnsi="Arial" w:cs="Arial"/>
          <w:b w:val="0"/>
          <w:sz w:val="24"/>
          <w:szCs w:val="24"/>
        </w:rPr>
        <w:t>“occupy till I come’.</w:t>
      </w:r>
    </w:p>
    <w:p w:rsidR="00E553BC" w:rsidRPr="00964C7F" w:rsidRDefault="00964C7F" w:rsidP="00964C7F">
      <w:pPr>
        <w:pStyle w:val="Bodytext30"/>
        <w:framePr w:w="9679" w:h="13648" w:hRule="exact" w:wrap="none" w:vAnchor="page" w:hAnchor="page" w:x="1073" w:y="1491"/>
        <w:shd w:val="clear" w:color="auto" w:fill="auto"/>
        <w:tabs>
          <w:tab w:val="left" w:pos="1530"/>
        </w:tabs>
        <w:spacing w:before="0" w:after="112" w:line="140" w:lineRule="exact"/>
        <w:ind w:left="1440"/>
        <w:rPr>
          <w:rFonts w:ascii="Arial" w:hAnsi="Arial" w:cs="Arial"/>
          <w:sz w:val="24"/>
          <w:szCs w:val="24"/>
        </w:rPr>
      </w:pPr>
      <w:r w:rsidRPr="00964C7F">
        <w:rPr>
          <w:rFonts w:ascii="Arial" w:hAnsi="Arial" w:cs="Arial"/>
          <w:sz w:val="24"/>
          <w:szCs w:val="24"/>
        </w:rPr>
        <w:t>*******</w:t>
      </w:r>
    </w:p>
    <w:p w:rsidR="00E553BC" w:rsidRPr="00964C7F" w:rsidRDefault="00E553BC" w:rsidP="00964C7F">
      <w:pPr>
        <w:tabs>
          <w:tab w:val="left" w:pos="1530"/>
        </w:tabs>
        <w:rPr>
          <w:rFonts w:ascii="Arial" w:hAnsi="Arial" w:cs="Arial"/>
        </w:rPr>
        <w:sectPr w:rsidR="00E553BC" w:rsidRPr="00964C7F">
          <w:pgSz w:w="12240" w:h="15840"/>
          <w:pgMar w:top="0" w:right="0" w:bottom="0" w:left="0" w:header="0" w:footer="3" w:gutter="0"/>
          <w:cols w:space="720"/>
          <w:noEndnote/>
          <w:docGrid w:linePitch="360"/>
        </w:sectPr>
      </w:pPr>
    </w:p>
    <w:p w:rsidR="00E553BC" w:rsidRPr="00964C7F" w:rsidRDefault="00E553BC" w:rsidP="00964C7F">
      <w:pPr>
        <w:pStyle w:val="Bodytext21"/>
        <w:framePr w:w="9634" w:h="11890" w:hRule="exact" w:wrap="none" w:vAnchor="page" w:hAnchor="page" w:x="1316" w:y="1539"/>
        <w:shd w:val="clear" w:color="auto" w:fill="auto"/>
        <w:tabs>
          <w:tab w:val="left" w:pos="1530"/>
        </w:tabs>
        <w:spacing w:before="0" w:after="240" w:line="278" w:lineRule="exact"/>
        <w:jc w:val="both"/>
        <w:rPr>
          <w:b w:val="0"/>
          <w:sz w:val="2"/>
          <w:szCs w:val="2"/>
        </w:rPr>
      </w:pPr>
    </w:p>
    <w:sectPr w:rsidR="00E553BC" w:rsidRPr="00964C7F">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6D" w:rsidRDefault="00FF226D">
      <w:r>
        <w:separator/>
      </w:r>
    </w:p>
  </w:endnote>
  <w:endnote w:type="continuationSeparator" w:id="0">
    <w:p w:rsidR="00FF226D" w:rsidRDefault="00FF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6D" w:rsidRDefault="00FF226D"/>
  </w:footnote>
  <w:footnote w:type="continuationSeparator" w:id="0">
    <w:p w:rsidR="00FF226D" w:rsidRDefault="00FF22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59A"/>
    <w:multiLevelType w:val="multilevel"/>
    <w:tmpl w:val="46CEC3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5B2E6D"/>
    <w:multiLevelType w:val="multilevel"/>
    <w:tmpl w:val="8FC03F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BC"/>
    <w:rsid w:val="001D141C"/>
    <w:rsid w:val="00716A7F"/>
    <w:rsid w:val="00964C7F"/>
    <w:rsid w:val="00A46B1D"/>
    <w:rsid w:val="00B04254"/>
    <w:rsid w:val="00DF20E3"/>
    <w:rsid w:val="00E553BC"/>
    <w:rsid w:val="00F02617"/>
    <w:rsid w:val="00FF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iCs/>
      <w:smallCaps w:val="0"/>
      <w:strike w:val="0"/>
      <w:spacing w:val="16"/>
      <w:sz w:val="21"/>
      <w:szCs w:val="21"/>
      <w:u w:val="none"/>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pacing w:val="3"/>
      <w:sz w:val="21"/>
      <w:szCs w:val="21"/>
      <w:u w:val="none"/>
    </w:rPr>
  </w:style>
  <w:style w:type="character" w:customStyle="1" w:styleId="BodytextBold">
    <w:name w:val="Body text + Bold"/>
    <w:aliases w:val="Italic,Spacing 0 pt"/>
    <w:basedOn w:val="Bodytext"/>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20">
    <w:name w:val="Body text (2)_"/>
    <w:basedOn w:val="DefaultParagraphFont"/>
    <w:link w:val="Bodytext21"/>
    <w:rPr>
      <w:rFonts w:ascii="Bookman Old Style" w:eastAsia="Bookman Old Style" w:hAnsi="Bookman Old Style" w:cs="Bookman Old Style"/>
      <w:b/>
      <w:bCs/>
      <w:i/>
      <w:iCs/>
      <w:smallCaps w:val="0"/>
      <w:strike w:val="0"/>
      <w:sz w:val="21"/>
      <w:szCs w:val="21"/>
      <w:u w:val="none"/>
    </w:rPr>
  </w:style>
  <w:style w:type="character" w:customStyle="1" w:styleId="Bodytext2NotBold">
    <w:name w:val="Body text (2) + Not Bold"/>
    <w:aliases w:val="Not Italic,Spacing 0 pt2"/>
    <w:basedOn w:val="Bodytext20"/>
    <w:rPr>
      <w:rFonts w:ascii="Bookman Old Style" w:eastAsia="Bookman Old Style" w:hAnsi="Bookman Old Style" w:cs="Bookman Old Style"/>
      <w:b/>
      <w:bCs/>
      <w:i/>
      <w:iCs/>
      <w:smallCaps w:val="0"/>
      <w:strike w:val="0"/>
      <w:color w:val="000000"/>
      <w:spacing w:val="3"/>
      <w:w w:val="100"/>
      <w:position w:val="0"/>
      <w:sz w:val="21"/>
      <w:szCs w:val="21"/>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3"/>
      <w:w w:val="100"/>
      <w:position w:val="0"/>
      <w:sz w:val="21"/>
      <w:szCs w:val="21"/>
      <w:u w:val="single"/>
      <w:lang w:val="en-US"/>
    </w:rPr>
  </w:style>
  <w:style w:type="character" w:customStyle="1" w:styleId="Heading1">
    <w:name w:val="Heading #1_"/>
    <w:basedOn w:val="DefaultParagraphFont"/>
    <w:link w:val="Heading11"/>
    <w:rPr>
      <w:rFonts w:ascii="Bookman Old Style" w:eastAsia="Bookman Old Style" w:hAnsi="Bookman Old Style" w:cs="Bookman Old Style"/>
      <w:b w:val="0"/>
      <w:bCs w:val="0"/>
      <w:i w:val="0"/>
      <w:iCs w:val="0"/>
      <w:smallCaps w:val="0"/>
      <w:strike w:val="0"/>
      <w:spacing w:val="3"/>
      <w:sz w:val="21"/>
      <w:szCs w:val="21"/>
      <w:u w:val="none"/>
    </w:rPr>
  </w:style>
  <w:style w:type="character" w:customStyle="1" w:styleId="BodytextBold1">
    <w:name w:val="Body text + Bold1"/>
    <w:aliases w:val="Italic2,Spacing -1 pt"/>
    <w:basedOn w:val="Bodytext"/>
    <w:rPr>
      <w:rFonts w:ascii="Bookman Old Style" w:eastAsia="Bookman Old Style" w:hAnsi="Bookman Old Style" w:cs="Bookman Old Style"/>
      <w:b/>
      <w:bCs/>
      <w:i/>
      <w:iCs/>
      <w:smallCaps w:val="0"/>
      <w:strike w:val="0"/>
      <w:color w:val="000000"/>
      <w:spacing w:val="-23"/>
      <w:w w:val="100"/>
      <w:position w:val="0"/>
      <w:sz w:val="21"/>
      <w:szCs w:val="21"/>
      <w:u w:val="none"/>
      <w:lang w:val="en-US"/>
    </w:rPr>
  </w:style>
  <w:style w:type="character" w:customStyle="1" w:styleId="Bodytext3">
    <w:name w:val="Body text (3)_"/>
    <w:basedOn w:val="DefaultParagraphFont"/>
    <w:link w:val="Bodytext30"/>
    <w:rPr>
      <w:rFonts w:ascii="MS Gothic" w:eastAsia="MS Gothic" w:hAnsi="MS Gothic" w:cs="MS Gothic"/>
      <w:b w:val="0"/>
      <w:bCs w:val="0"/>
      <w:i w:val="0"/>
      <w:iCs w:val="0"/>
      <w:smallCaps w:val="0"/>
      <w:strike w:val="0"/>
      <w:spacing w:val="115"/>
      <w:sz w:val="14"/>
      <w:szCs w:val="14"/>
      <w:u w:val="none"/>
    </w:rPr>
  </w:style>
  <w:style w:type="character" w:customStyle="1" w:styleId="Heading1Bold">
    <w:name w:val="Heading #1 + Bold"/>
    <w:aliases w:val="Italic1,Spacing 0 pt1"/>
    <w:basedOn w:val="Heading1"/>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Heading10">
    <w:name w:val="Heading #1"/>
    <w:basedOn w:val="Heading1"/>
    <w:rPr>
      <w:rFonts w:ascii="Bookman Old Style" w:eastAsia="Bookman Old Style" w:hAnsi="Bookman Old Style" w:cs="Bookman Old Style"/>
      <w:b w:val="0"/>
      <w:bCs w:val="0"/>
      <w:i w:val="0"/>
      <w:iCs w:val="0"/>
      <w:smallCaps w:val="0"/>
      <w:strike w:val="0"/>
      <w:color w:val="000000"/>
      <w:spacing w:val="3"/>
      <w:w w:val="100"/>
      <w:position w:val="0"/>
      <w:sz w:val="21"/>
      <w:szCs w:val="21"/>
      <w:u w:val="single"/>
      <w:lang w:val="en-US"/>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i/>
      <w:iCs/>
      <w:spacing w:val="16"/>
      <w:sz w:val="21"/>
      <w:szCs w:val="21"/>
    </w:rPr>
  </w:style>
  <w:style w:type="paragraph" w:customStyle="1" w:styleId="BodyText2">
    <w:name w:val="Body Text2"/>
    <w:basedOn w:val="Normal"/>
    <w:link w:val="Bodytext"/>
    <w:pPr>
      <w:shd w:val="clear" w:color="auto" w:fill="FFFFFF"/>
      <w:spacing w:after="60" w:line="0" w:lineRule="atLeast"/>
      <w:jc w:val="right"/>
    </w:pPr>
    <w:rPr>
      <w:rFonts w:ascii="Bookman Old Style" w:eastAsia="Bookman Old Style" w:hAnsi="Bookman Old Style" w:cs="Bookman Old Style"/>
      <w:spacing w:val="3"/>
      <w:sz w:val="21"/>
      <w:szCs w:val="21"/>
    </w:rPr>
  </w:style>
  <w:style w:type="paragraph" w:customStyle="1" w:styleId="Bodytext21">
    <w:name w:val="Body text (2)"/>
    <w:basedOn w:val="Normal"/>
    <w:link w:val="Bodytext20"/>
    <w:pPr>
      <w:shd w:val="clear" w:color="auto" w:fill="FFFFFF"/>
      <w:spacing w:before="60" w:after="360" w:line="0" w:lineRule="atLeast"/>
    </w:pPr>
    <w:rPr>
      <w:rFonts w:ascii="Bookman Old Style" w:eastAsia="Bookman Old Style" w:hAnsi="Bookman Old Style" w:cs="Bookman Old Style"/>
      <w:b/>
      <w:bCs/>
      <w:i/>
      <w:iCs/>
      <w:sz w:val="21"/>
      <w:szCs w:val="21"/>
    </w:rPr>
  </w:style>
  <w:style w:type="paragraph" w:customStyle="1" w:styleId="Heading11">
    <w:name w:val="Heading #11"/>
    <w:basedOn w:val="Normal"/>
    <w:link w:val="Heading1"/>
    <w:pPr>
      <w:shd w:val="clear" w:color="auto" w:fill="FFFFFF"/>
      <w:spacing w:before="240" w:after="60" w:line="0" w:lineRule="atLeast"/>
      <w:outlineLvl w:val="0"/>
    </w:pPr>
    <w:rPr>
      <w:rFonts w:ascii="Bookman Old Style" w:eastAsia="Bookman Old Style" w:hAnsi="Bookman Old Style" w:cs="Bookman Old Style"/>
      <w:spacing w:val="3"/>
      <w:sz w:val="21"/>
      <w:szCs w:val="21"/>
    </w:rPr>
  </w:style>
  <w:style w:type="paragraph" w:customStyle="1" w:styleId="Bodytext30">
    <w:name w:val="Body text (3)"/>
    <w:basedOn w:val="Normal"/>
    <w:link w:val="Bodytext3"/>
    <w:pPr>
      <w:shd w:val="clear" w:color="auto" w:fill="FFFFFF"/>
      <w:spacing w:before="120" w:after="420" w:line="0" w:lineRule="atLeast"/>
    </w:pPr>
    <w:rPr>
      <w:rFonts w:ascii="MS Gothic" w:eastAsia="MS Gothic" w:hAnsi="MS Gothic" w:cs="MS Gothic"/>
      <w:spacing w:val="115"/>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iCs/>
      <w:smallCaps w:val="0"/>
      <w:strike w:val="0"/>
      <w:spacing w:val="16"/>
      <w:sz w:val="21"/>
      <w:szCs w:val="21"/>
      <w:u w:val="none"/>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pacing w:val="3"/>
      <w:sz w:val="21"/>
      <w:szCs w:val="21"/>
      <w:u w:val="none"/>
    </w:rPr>
  </w:style>
  <w:style w:type="character" w:customStyle="1" w:styleId="BodytextBold">
    <w:name w:val="Body text + Bold"/>
    <w:aliases w:val="Italic,Spacing 0 pt"/>
    <w:basedOn w:val="Bodytext"/>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Bodytext20">
    <w:name w:val="Body text (2)_"/>
    <w:basedOn w:val="DefaultParagraphFont"/>
    <w:link w:val="Bodytext21"/>
    <w:rPr>
      <w:rFonts w:ascii="Bookman Old Style" w:eastAsia="Bookman Old Style" w:hAnsi="Bookman Old Style" w:cs="Bookman Old Style"/>
      <w:b/>
      <w:bCs/>
      <w:i/>
      <w:iCs/>
      <w:smallCaps w:val="0"/>
      <w:strike w:val="0"/>
      <w:sz w:val="21"/>
      <w:szCs w:val="21"/>
      <w:u w:val="none"/>
    </w:rPr>
  </w:style>
  <w:style w:type="character" w:customStyle="1" w:styleId="Bodytext2NotBold">
    <w:name w:val="Body text (2) + Not Bold"/>
    <w:aliases w:val="Not Italic,Spacing 0 pt2"/>
    <w:basedOn w:val="Bodytext20"/>
    <w:rPr>
      <w:rFonts w:ascii="Bookman Old Style" w:eastAsia="Bookman Old Style" w:hAnsi="Bookman Old Style" w:cs="Bookman Old Style"/>
      <w:b/>
      <w:bCs/>
      <w:i/>
      <w:iCs/>
      <w:smallCaps w:val="0"/>
      <w:strike w:val="0"/>
      <w:color w:val="000000"/>
      <w:spacing w:val="3"/>
      <w:w w:val="100"/>
      <w:position w:val="0"/>
      <w:sz w:val="21"/>
      <w:szCs w:val="21"/>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3"/>
      <w:w w:val="100"/>
      <w:position w:val="0"/>
      <w:sz w:val="21"/>
      <w:szCs w:val="21"/>
      <w:u w:val="single"/>
      <w:lang w:val="en-US"/>
    </w:rPr>
  </w:style>
  <w:style w:type="character" w:customStyle="1" w:styleId="Heading1">
    <w:name w:val="Heading #1_"/>
    <w:basedOn w:val="DefaultParagraphFont"/>
    <w:link w:val="Heading11"/>
    <w:rPr>
      <w:rFonts w:ascii="Bookman Old Style" w:eastAsia="Bookman Old Style" w:hAnsi="Bookman Old Style" w:cs="Bookman Old Style"/>
      <w:b w:val="0"/>
      <w:bCs w:val="0"/>
      <w:i w:val="0"/>
      <w:iCs w:val="0"/>
      <w:smallCaps w:val="0"/>
      <w:strike w:val="0"/>
      <w:spacing w:val="3"/>
      <w:sz w:val="21"/>
      <w:szCs w:val="21"/>
      <w:u w:val="none"/>
    </w:rPr>
  </w:style>
  <w:style w:type="character" w:customStyle="1" w:styleId="BodytextBold1">
    <w:name w:val="Body text + Bold1"/>
    <w:aliases w:val="Italic2,Spacing -1 pt"/>
    <w:basedOn w:val="Bodytext"/>
    <w:rPr>
      <w:rFonts w:ascii="Bookman Old Style" w:eastAsia="Bookman Old Style" w:hAnsi="Bookman Old Style" w:cs="Bookman Old Style"/>
      <w:b/>
      <w:bCs/>
      <w:i/>
      <w:iCs/>
      <w:smallCaps w:val="0"/>
      <w:strike w:val="0"/>
      <w:color w:val="000000"/>
      <w:spacing w:val="-23"/>
      <w:w w:val="100"/>
      <w:position w:val="0"/>
      <w:sz w:val="21"/>
      <w:szCs w:val="21"/>
      <w:u w:val="none"/>
      <w:lang w:val="en-US"/>
    </w:rPr>
  </w:style>
  <w:style w:type="character" w:customStyle="1" w:styleId="Bodytext3">
    <w:name w:val="Body text (3)_"/>
    <w:basedOn w:val="DefaultParagraphFont"/>
    <w:link w:val="Bodytext30"/>
    <w:rPr>
      <w:rFonts w:ascii="MS Gothic" w:eastAsia="MS Gothic" w:hAnsi="MS Gothic" w:cs="MS Gothic"/>
      <w:b w:val="0"/>
      <w:bCs w:val="0"/>
      <w:i w:val="0"/>
      <w:iCs w:val="0"/>
      <w:smallCaps w:val="0"/>
      <w:strike w:val="0"/>
      <w:spacing w:val="115"/>
      <w:sz w:val="14"/>
      <w:szCs w:val="14"/>
      <w:u w:val="none"/>
    </w:rPr>
  </w:style>
  <w:style w:type="character" w:customStyle="1" w:styleId="Heading1Bold">
    <w:name w:val="Heading #1 + Bold"/>
    <w:aliases w:val="Italic1,Spacing 0 pt1"/>
    <w:basedOn w:val="Heading1"/>
    <w:rPr>
      <w:rFonts w:ascii="Bookman Old Style" w:eastAsia="Bookman Old Style" w:hAnsi="Bookman Old Style" w:cs="Bookman Old Style"/>
      <w:b/>
      <w:bCs/>
      <w:i/>
      <w:iCs/>
      <w:smallCaps w:val="0"/>
      <w:strike w:val="0"/>
      <w:color w:val="000000"/>
      <w:spacing w:val="0"/>
      <w:w w:val="100"/>
      <w:position w:val="0"/>
      <w:sz w:val="21"/>
      <w:szCs w:val="21"/>
      <w:u w:val="none"/>
      <w:lang w:val="en-US"/>
    </w:rPr>
  </w:style>
  <w:style w:type="character" w:customStyle="1" w:styleId="Heading10">
    <w:name w:val="Heading #1"/>
    <w:basedOn w:val="Heading1"/>
    <w:rPr>
      <w:rFonts w:ascii="Bookman Old Style" w:eastAsia="Bookman Old Style" w:hAnsi="Bookman Old Style" w:cs="Bookman Old Style"/>
      <w:b w:val="0"/>
      <w:bCs w:val="0"/>
      <w:i w:val="0"/>
      <w:iCs w:val="0"/>
      <w:smallCaps w:val="0"/>
      <w:strike w:val="0"/>
      <w:color w:val="000000"/>
      <w:spacing w:val="3"/>
      <w:w w:val="100"/>
      <w:position w:val="0"/>
      <w:sz w:val="21"/>
      <w:szCs w:val="21"/>
      <w:u w:val="single"/>
      <w:lang w:val="en-US"/>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i/>
      <w:iCs/>
      <w:spacing w:val="16"/>
      <w:sz w:val="21"/>
      <w:szCs w:val="21"/>
    </w:rPr>
  </w:style>
  <w:style w:type="paragraph" w:customStyle="1" w:styleId="BodyText2">
    <w:name w:val="Body Text2"/>
    <w:basedOn w:val="Normal"/>
    <w:link w:val="Bodytext"/>
    <w:pPr>
      <w:shd w:val="clear" w:color="auto" w:fill="FFFFFF"/>
      <w:spacing w:after="60" w:line="0" w:lineRule="atLeast"/>
      <w:jc w:val="right"/>
    </w:pPr>
    <w:rPr>
      <w:rFonts w:ascii="Bookman Old Style" w:eastAsia="Bookman Old Style" w:hAnsi="Bookman Old Style" w:cs="Bookman Old Style"/>
      <w:spacing w:val="3"/>
      <w:sz w:val="21"/>
      <w:szCs w:val="21"/>
    </w:rPr>
  </w:style>
  <w:style w:type="paragraph" w:customStyle="1" w:styleId="Bodytext21">
    <w:name w:val="Body text (2)"/>
    <w:basedOn w:val="Normal"/>
    <w:link w:val="Bodytext20"/>
    <w:pPr>
      <w:shd w:val="clear" w:color="auto" w:fill="FFFFFF"/>
      <w:spacing w:before="60" w:after="360" w:line="0" w:lineRule="atLeast"/>
    </w:pPr>
    <w:rPr>
      <w:rFonts w:ascii="Bookman Old Style" w:eastAsia="Bookman Old Style" w:hAnsi="Bookman Old Style" w:cs="Bookman Old Style"/>
      <w:b/>
      <w:bCs/>
      <w:i/>
      <w:iCs/>
      <w:sz w:val="21"/>
      <w:szCs w:val="21"/>
    </w:rPr>
  </w:style>
  <w:style w:type="paragraph" w:customStyle="1" w:styleId="Heading11">
    <w:name w:val="Heading #11"/>
    <w:basedOn w:val="Normal"/>
    <w:link w:val="Heading1"/>
    <w:pPr>
      <w:shd w:val="clear" w:color="auto" w:fill="FFFFFF"/>
      <w:spacing w:before="240" w:after="60" w:line="0" w:lineRule="atLeast"/>
      <w:outlineLvl w:val="0"/>
    </w:pPr>
    <w:rPr>
      <w:rFonts w:ascii="Bookman Old Style" w:eastAsia="Bookman Old Style" w:hAnsi="Bookman Old Style" w:cs="Bookman Old Style"/>
      <w:spacing w:val="3"/>
      <w:sz w:val="21"/>
      <w:szCs w:val="21"/>
    </w:rPr>
  </w:style>
  <w:style w:type="paragraph" w:customStyle="1" w:styleId="Bodytext30">
    <w:name w:val="Body text (3)"/>
    <w:basedOn w:val="Normal"/>
    <w:link w:val="Bodytext3"/>
    <w:pPr>
      <w:shd w:val="clear" w:color="auto" w:fill="FFFFFF"/>
      <w:spacing w:before="120" w:after="420" w:line="0" w:lineRule="atLeast"/>
    </w:pPr>
    <w:rPr>
      <w:rFonts w:ascii="MS Gothic" w:eastAsia="MS Gothic" w:hAnsi="MS Gothic" w:cs="MS Gothic"/>
      <w:spacing w:val="115"/>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eperlifejamaica@yahoo.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0079-307C-440E-B814-29CF7148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deeperlife</dc:creator>
  <cp:lastModifiedBy>deeperlife</cp:lastModifiedBy>
  <cp:revision>1</cp:revision>
  <dcterms:created xsi:type="dcterms:W3CDTF">2013-02-03T19:14:00Z</dcterms:created>
  <dcterms:modified xsi:type="dcterms:W3CDTF">2013-02-03T22:14:00Z</dcterms:modified>
</cp:coreProperties>
</file>